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EA2A3" w14:textId="77777777" w:rsidR="002B3973" w:rsidRPr="0002360E" w:rsidRDefault="002B3973" w:rsidP="0057123D">
      <w:pPr>
        <w:ind w:left="0" w:right="-2"/>
        <w:jc w:val="center"/>
        <w:rPr>
          <w:b/>
          <w:szCs w:val="24"/>
        </w:rPr>
      </w:pPr>
      <w:r w:rsidRPr="0002360E">
        <w:rPr>
          <w:b/>
          <w:szCs w:val="24"/>
        </w:rPr>
        <w:t>Indokolás</w:t>
      </w:r>
    </w:p>
    <w:p w14:paraId="70423BE0" w14:textId="77777777" w:rsidR="002B3973" w:rsidRPr="0002360E" w:rsidRDefault="002B3973" w:rsidP="0057123D">
      <w:pPr>
        <w:ind w:left="0" w:right="-2"/>
        <w:rPr>
          <w:szCs w:val="24"/>
        </w:rPr>
      </w:pPr>
    </w:p>
    <w:p w14:paraId="37FFF989" w14:textId="77777777" w:rsidR="00FA1376" w:rsidRPr="0002360E" w:rsidRDefault="00FA1376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 w:rsidRPr="0002360E">
        <w:rPr>
          <w:rFonts w:eastAsia="Calibri"/>
          <w:b/>
          <w:bCs/>
          <w:szCs w:val="24"/>
          <w:lang w:eastAsia="hu-HU"/>
        </w:rPr>
        <w:t>Dunakeszi Város Önkormányzata Képviselő-testületének</w:t>
      </w:r>
    </w:p>
    <w:p w14:paraId="4DB390C1" w14:textId="6BAC3F10" w:rsidR="00C50183" w:rsidRPr="000739F5" w:rsidRDefault="000739F5" w:rsidP="000739F5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>
        <w:rPr>
          <w:rFonts w:eastAsia="Calibri"/>
          <w:b/>
          <w:bCs/>
          <w:szCs w:val="24"/>
          <w:lang w:eastAsia="hu-HU"/>
        </w:rPr>
        <w:t>15</w:t>
      </w:r>
      <w:r w:rsidR="000472A1">
        <w:rPr>
          <w:rFonts w:eastAsia="Calibri"/>
          <w:b/>
          <w:bCs/>
          <w:szCs w:val="24"/>
          <w:lang w:eastAsia="hu-HU"/>
        </w:rPr>
        <w:t>/2022. (</w:t>
      </w:r>
      <w:r w:rsidR="0085554F">
        <w:rPr>
          <w:rFonts w:eastAsia="Calibri"/>
          <w:b/>
          <w:bCs/>
          <w:szCs w:val="24"/>
          <w:lang w:eastAsia="hu-HU"/>
        </w:rPr>
        <w:t xml:space="preserve">IX. </w:t>
      </w:r>
      <w:r>
        <w:rPr>
          <w:rFonts w:eastAsia="Calibri"/>
          <w:b/>
          <w:bCs/>
          <w:szCs w:val="24"/>
          <w:lang w:eastAsia="hu-HU"/>
        </w:rPr>
        <w:t>30</w:t>
      </w:r>
      <w:r w:rsidR="00FA1376" w:rsidRPr="0002360E">
        <w:rPr>
          <w:rFonts w:eastAsia="Calibri"/>
          <w:b/>
          <w:bCs/>
          <w:szCs w:val="24"/>
          <w:lang w:eastAsia="hu-HU"/>
        </w:rPr>
        <w:t>.) rendelete</w:t>
      </w:r>
      <w:r>
        <w:rPr>
          <w:rFonts w:eastAsia="Calibri"/>
          <w:b/>
          <w:bCs/>
          <w:szCs w:val="24"/>
          <w:lang w:eastAsia="hu-HU"/>
        </w:rPr>
        <w:t xml:space="preserve"> </w:t>
      </w:r>
      <w:bookmarkStart w:id="0" w:name="_GoBack"/>
      <w:bookmarkEnd w:id="0"/>
      <w:r w:rsidR="00C50183" w:rsidRPr="00C50183">
        <w:rPr>
          <w:b/>
        </w:rPr>
        <w:t>a közterületek használatáról és rendjéről szóló</w:t>
      </w:r>
    </w:p>
    <w:p w14:paraId="10DDD553" w14:textId="7CC5162C" w:rsidR="00B80DA9" w:rsidRDefault="00C50183" w:rsidP="00C50183">
      <w:pPr>
        <w:jc w:val="center"/>
        <w:rPr>
          <w:b/>
        </w:rPr>
      </w:pPr>
      <w:r w:rsidRPr="00C50183">
        <w:rPr>
          <w:b/>
        </w:rPr>
        <w:t>22/2015. (VIII.06.) önkormányzati rendelet módosításáról</w:t>
      </w:r>
    </w:p>
    <w:p w14:paraId="294D8F0B" w14:textId="77777777" w:rsidR="00FA1376" w:rsidRPr="0002360E" w:rsidRDefault="00FA1376" w:rsidP="00FA1376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14:paraId="1F757430" w14:textId="77777777" w:rsidR="009D05EE" w:rsidRPr="0002360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14:paraId="4AC2D852" w14:textId="77777777" w:rsidR="0085554F" w:rsidRPr="004D667B" w:rsidRDefault="0085554F" w:rsidP="0085554F">
      <w:pPr>
        <w:pStyle w:val="Nincstrkz"/>
        <w:rPr>
          <w:rFonts w:ascii="Times New Roman" w:hAnsi="Times New Roman"/>
          <w:b/>
          <w:bCs/>
          <w:i/>
          <w:sz w:val="24"/>
          <w:szCs w:val="24"/>
        </w:rPr>
      </w:pPr>
      <w:r w:rsidRPr="004D667B">
        <w:rPr>
          <w:rFonts w:ascii="Times New Roman" w:hAnsi="Times New Roman"/>
          <w:b/>
          <w:i/>
          <w:sz w:val="24"/>
          <w:szCs w:val="24"/>
        </w:rPr>
        <w:t>ÁLTALÁNOS INDOKOLÁS</w:t>
      </w:r>
    </w:p>
    <w:p w14:paraId="2FF1AC6A" w14:textId="77777777" w:rsidR="0085554F" w:rsidRDefault="0085554F" w:rsidP="0085554F">
      <w:pPr>
        <w:pStyle w:val="Nincstrkz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A rendelet alkalmazása során több olyan pontosítás szükséges, mely a továbbiakban a közterületek rendjének, illetve használatának szabályait még érthetőbbé, teljesebbé teszi jelen módosító rendelet megalkotásával.</w:t>
      </w:r>
    </w:p>
    <w:p w14:paraId="65702430" w14:textId="77777777" w:rsidR="0085554F" w:rsidRDefault="0085554F" w:rsidP="0085554F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14:paraId="1A2942CC" w14:textId="77777777" w:rsidR="0085554F" w:rsidRPr="004D667B" w:rsidRDefault="0085554F" w:rsidP="0085554F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4D667B">
        <w:rPr>
          <w:rFonts w:ascii="Times New Roman" w:hAnsi="Times New Roman"/>
          <w:b/>
          <w:i/>
          <w:sz w:val="24"/>
          <w:szCs w:val="24"/>
        </w:rPr>
        <w:t>RÉSZLETES INDOKOLÁS</w:t>
      </w:r>
    </w:p>
    <w:p w14:paraId="3BF43B2A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Pr="008E6E66">
        <w:rPr>
          <w:rFonts w:ascii="Times New Roman" w:hAnsi="Times New Roman"/>
          <w:b/>
          <w:bCs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 A 23. és 24. pontok beillesztése pontosítja, illetve a közterület-használatok meghatározott esetköreinek rendszerét tovább részletezi, az alábbiak szerint:</w:t>
      </w:r>
    </w:p>
    <w:p w14:paraId="238E96CC" w14:textId="77777777" w:rsidR="0085554F" w:rsidRPr="002D73C3" w:rsidRDefault="0085554F" w:rsidP="0085554F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2D73C3">
        <w:rPr>
          <w:rFonts w:ascii="Times New Roman" w:hAnsi="Times New Roman"/>
          <w:i/>
          <w:sz w:val="24"/>
          <w:szCs w:val="24"/>
        </w:rPr>
        <w:t xml:space="preserve"> „23. a közterületek 1-22. pontokban, illetve a rendeletben fel nem sorolt, rendeltetéstől eltérő használatához.</w:t>
      </w:r>
    </w:p>
    <w:p w14:paraId="303BD019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D73C3">
        <w:rPr>
          <w:rFonts w:ascii="Times New Roman" w:hAnsi="Times New Roman"/>
          <w:i/>
          <w:sz w:val="24"/>
          <w:szCs w:val="24"/>
        </w:rPr>
        <w:t>24. a közterület használatának korlátozásához, amennyiben – kerítéssel, kapuval, egyéb eszközzel, vagy módon jelezve van – a korlátozás időtartama alatt kizárólag egyes személyek, vagy csoportok vehetik igénybe rendeltetésének megfelelő használatra a területet.”</w:t>
      </w:r>
    </w:p>
    <w:p w14:paraId="01AB2D92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proofErr w:type="spellStart"/>
      <w:r>
        <w:rPr>
          <w:rFonts w:ascii="Times New Roman" w:hAnsi="Times New Roman"/>
          <w:sz w:val="24"/>
          <w:szCs w:val="24"/>
        </w:rPr>
        <w:t>Ör</w:t>
      </w:r>
      <w:proofErr w:type="spellEnd"/>
      <w:r>
        <w:rPr>
          <w:rFonts w:ascii="Times New Roman" w:hAnsi="Times New Roman"/>
          <w:sz w:val="24"/>
          <w:szCs w:val="24"/>
        </w:rPr>
        <w:t>. 5. § (2) bekezdésének 1-22. pontjai sorolja fel azokat az eseteket, melyek megvalósulása esetén közterület-használati hozzájárulást kell beszerezni az Önkormányzattól.</w:t>
      </w:r>
    </w:p>
    <w:p w14:paraId="1EFFEF64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B8F8F65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3469E">
        <w:rPr>
          <w:rFonts w:ascii="Times New Roman" w:hAnsi="Times New Roman"/>
          <w:b/>
          <w:sz w:val="24"/>
          <w:szCs w:val="24"/>
        </w:rPr>
        <w:t>2.§</w:t>
      </w:r>
      <w:r>
        <w:rPr>
          <w:rFonts w:ascii="Times New Roman" w:hAnsi="Times New Roman"/>
          <w:sz w:val="24"/>
          <w:szCs w:val="24"/>
        </w:rPr>
        <w:t xml:space="preserve"> Az </w:t>
      </w:r>
      <w:proofErr w:type="spellStart"/>
      <w:r w:rsidRPr="00C33A0F">
        <w:rPr>
          <w:rFonts w:ascii="Times New Roman" w:hAnsi="Times New Roman"/>
          <w:sz w:val="24"/>
          <w:szCs w:val="24"/>
        </w:rPr>
        <w:t>Ör</w:t>
      </w:r>
      <w:proofErr w:type="spellEnd"/>
      <w:r w:rsidRPr="00C33A0F">
        <w:rPr>
          <w:rFonts w:ascii="Times New Roman" w:hAnsi="Times New Roman"/>
          <w:sz w:val="24"/>
          <w:szCs w:val="24"/>
        </w:rPr>
        <w:t>. 28. §</w:t>
      </w:r>
      <w:r>
        <w:rPr>
          <w:rFonts w:ascii="Times New Roman" w:hAnsi="Times New Roman"/>
          <w:sz w:val="24"/>
          <w:szCs w:val="24"/>
        </w:rPr>
        <w:t>-a határozza meg a közterület-használati díjfizetés alóli mentességet és eseteit.</w:t>
      </w:r>
      <w:r w:rsidRPr="00C33A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§ </w:t>
      </w:r>
      <w:r w:rsidRPr="00C33A0F">
        <w:rPr>
          <w:rFonts w:ascii="Times New Roman" w:hAnsi="Times New Roman"/>
          <w:sz w:val="24"/>
          <w:szCs w:val="24"/>
        </w:rPr>
        <w:t>(4) bekezdés</w:t>
      </w:r>
      <w:r>
        <w:rPr>
          <w:rFonts w:ascii="Times New Roman" w:hAnsi="Times New Roman"/>
          <w:sz w:val="24"/>
          <w:szCs w:val="24"/>
        </w:rPr>
        <w:t>ében az egyedi esetekben gyakorolt méltányossági körök kerülnek pontosítása, hogy a mérlegelés során alkalmazandó további, a § (1)-(3) bekezdéseiben nem szereplő körülmények egyértelműek legyenek.</w:t>
      </w:r>
    </w:p>
    <w:p w14:paraId="2D7CEBC9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Ezek alapján: </w:t>
      </w:r>
      <w:r w:rsidRPr="002D73C3">
        <w:rPr>
          <w:rFonts w:ascii="Times New Roman" w:hAnsi="Times New Roman"/>
          <w:i/>
          <w:sz w:val="24"/>
          <w:szCs w:val="24"/>
        </w:rPr>
        <w:t>„A Polgármester a közterület-használati díj mértékét kérelemre csökkentheti vagy elengedheti egyedi mérlegelés alapján olyan közterület-használatok esetén, amely a város fejlődését elősegítő programokhoz kapcsolódik, vagy melynek megadása harmadik személy jogos érdekét nem sérti.”</w:t>
      </w:r>
      <w:r>
        <w:rPr>
          <w:rFonts w:ascii="Times New Roman" w:hAnsi="Times New Roman"/>
          <w:sz w:val="24"/>
          <w:szCs w:val="24"/>
        </w:rPr>
        <w:t xml:space="preserve"> szövegrész szerint kerülne módosításra a bekezdés.</w:t>
      </w:r>
    </w:p>
    <w:p w14:paraId="2C6E4C8C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E7B5820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3469E">
        <w:rPr>
          <w:rFonts w:ascii="Times New Roman" w:hAnsi="Times New Roman"/>
          <w:b/>
          <w:sz w:val="24"/>
          <w:szCs w:val="24"/>
        </w:rPr>
        <w:t xml:space="preserve">3.§ </w:t>
      </w:r>
      <w:r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B74F97">
        <w:rPr>
          <w:rFonts w:ascii="Times New Roman" w:hAnsi="Times New Roman"/>
          <w:sz w:val="24"/>
          <w:szCs w:val="24"/>
        </w:rPr>
        <w:t>Ör</w:t>
      </w:r>
      <w:proofErr w:type="spellEnd"/>
      <w:r w:rsidRPr="00B74F97">
        <w:rPr>
          <w:rFonts w:ascii="Times New Roman" w:hAnsi="Times New Roman"/>
          <w:sz w:val="24"/>
          <w:szCs w:val="24"/>
        </w:rPr>
        <w:t>. 2. sz. mellékletének</w:t>
      </w:r>
      <w:r>
        <w:rPr>
          <w:rFonts w:ascii="Times New Roman" w:hAnsi="Times New Roman"/>
          <w:sz w:val="24"/>
          <w:szCs w:val="24"/>
        </w:rPr>
        <w:t xml:space="preserve"> 11. pontjának szövegébe beillesztésre kerül a Tőzegtavak területén felderített közterület-használatok, hogy azon személyeknek a használataira is a díj meg legyen határozva. Ennek alapján el tudjuk kezdeni a megállapodások előkészítését. </w:t>
      </w:r>
    </w:p>
    <w:p w14:paraId="7CF07F1D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2. sz. melléklet </w:t>
      </w:r>
      <w:r w:rsidRPr="00B74F97">
        <w:rPr>
          <w:rFonts w:ascii="Times New Roman" w:hAnsi="Times New Roman"/>
          <w:sz w:val="24"/>
          <w:szCs w:val="24"/>
        </w:rPr>
        <w:t>17</w:t>
      </w:r>
      <w:proofErr w:type="gramStart"/>
      <w:r w:rsidRPr="00B74F97">
        <w:rPr>
          <w:rFonts w:ascii="Times New Roman" w:hAnsi="Times New Roman"/>
          <w:sz w:val="24"/>
          <w:szCs w:val="24"/>
        </w:rPr>
        <w:t>.,</w:t>
      </w:r>
      <w:proofErr w:type="gramEnd"/>
      <w:r w:rsidRPr="00B74F97">
        <w:rPr>
          <w:rFonts w:ascii="Times New Roman" w:hAnsi="Times New Roman"/>
          <w:sz w:val="24"/>
          <w:szCs w:val="24"/>
        </w:rPr>
        <w:t xml:space="preserve"> 18., és 22. pontjainak fizetendő díjai „egyedi elbírálás szerint” szövegrész helyébe a</w:t>
      </w:r>
      <w:r>
        <w:rPr>
          <w:rFonts w:ascii="Times New Roman" w:hAnsi="Times New Roman"/>
          <w:sz w:val="24"/>
          <w:szCs w:val="24"/>
        </w:rPr>
        <w:t xml:space="preserve"> „800.-Ft/m</w:t>
      </w:r>
      <w:r w:rsidRPr="00B357A5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/hó” szövegrész lép.</w:t>
      </w:r>
    </w:p>
    <w:p w14:paraId="31498448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C6484A9" w14:textId="77777777" w:rsidR="0085554F" w:rsidRDefault="0085554F" w:rsidP="0085554F">
      <w:pPr>
        <w:ind w:left="0"/>
      </w:pPr>
      <w:r>
        <w:rPr>
          <w:b/>
          <w:bCs/>
        </w:rPr>
        <w:t>4</w:t>
      </w:r>
      <w:r w:rsidRPr="008E6E66">
        <w:rPr>
          <w:b/>
          <w:bCs/>
        </w:rPr>
        <w:t>. §</w:t>
      </w:r>
      <w:r>
        <w:t xml:space="preserve"> A záró rendelkezést tartalmazza.</w:t>
      </w:r>
    </w:p>
    <w:p w14:paraId="7F42F36C" w14:textId="6B5C30A3" w:rsidR="004F45C8" w:rsidRPr="00967342" w:rsidRDefault="004F45C8" w:rsidP="005A5CC0">
      <w:pPr>
        <w:ind w:left="0" w:right="-2"/>
        <w:rPr>
          <w:szCs w:val="24"/>
          <w:lang w:eastAsia="hu-HU"/>
        </w:rPr>
      </w:pPr>
    </w:p>
    <w:sectPr w:rsidR="004F45C8" w:rsidRPr="00967342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472A1"/>
    <w:rsid w:val="00070893"/>
    <w:rsid w:val="000739F5"/>
    <w:rsid w:val="0015269C"/>
    <w:rsid w:val="00165B93"/>
    <w:rsid w:val="001B68E9"/>
    <w:rsid w:val="001D30C9"/>
    <w:rsid w:val="001D76BD"/>
    <w:rsid w:val="00294AED"/>
    <w:rsid w:val="002B3973"/>
    <w:rsid w:val="00304019"/>
    <w:rsid w:val="0032039F"/>
    <w:rsid w:val="00366470"/>
    <w:rsid w:val="003C1143"/>
    <w:rsid w:val="00443BCB"/>
    <w:rsid w:val="004B4625"/>
    <w:rsid w:val="004F45C8"/>
    <w:rsid w:val="004F561F"/>
    <w:rsid w:val="00506DA0"/>
    <w:rsid w:val="00553E45"/>
    <w:rsid w:val="0057123D"/>
    <w:rsid w:val="005A5CC0"/>
    <w:rsid w:val="005E5A34"/>
    <w:rsid w:val="006147A0"/>
    <w:rsid w:val="00633807"/>
    <w:rsid w:val="006373D2"/>
    <w:rsid w:val="00637FE3"/>
    <w:rsid w:val="00662913"/>
    <w:rsid w:val="0069660F"/>
    <w:rsid w:val="00697143"/>
    <w:rsid w:val="006C7846"/>
    <w:rsid w:val="006F2705"/>
    <w:rsid w:val="007B3EB4"/>
    <w:rsid w:val="0085554F"/>
    <w:rsid w:val="008675D5"/>
    <w:rsid w:val="008C1D7A"/>
    <w:rsid w:val="008E3099"/>
    <w:rsid w:val="00967342"/>
    <w:rsid w:val="00977EFD"/>
    <w:rsid w:val="009868CB"/>
    <w:rsid w:val="00994967"/>
    <w:rsid w:val="009B03C8"/>
    <w:rsid w:val="009C6F8A"/>
    <w:rsid w:val="009D05EE"/>
    <w:rsid w:val="00A23AD1"/>
    <w:rsid w:val="00A26576"/>
    <w:rsid w:val="00B36AA5"/>
    <w:rsid w:val="00B80DA9"/>
    <w:rsid w:val="00C01E92"/>
    <w:rsid w:val="00C45B56"/>
    <w:rsid w:val="00C50183"/>
    <w:rsid w:val="00C954DB"/>
    <w:rsid w:val="00D42628"/>
    <w:rsid w:val="00D73DB2"/>
    <w:rsid w:val="00D76A56"/>
    <w:rsid w:val="00E869EB"/>
    <w:rsid w:val="00EF5D48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382C7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85554F"/>
    <w:rPr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39F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39F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cp:lastPrinted>2022-09-30T09:00:00Z</cp:lastPrinted>
  <dcterms:created xsi:type="dcterms:W3CDTF">2022-09-30T09:02:00Z</dcterms:created>
  <dcterms:modified xsi:type="dcterms:W3CDTF">2022-09-30T09:02:00Z</dcterms:modified>
</cp:coreProperties>
</file>